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E7" w:rsidRDefault="003401E7" w:rsidP="003401E7">
      <w:pPr>
        <w:pStyle w:val="a5"/>
        <w:widowControl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一、</w:t>
      </w:r>
      <w:bookmarkStart w:id="0" w:name="_GoBack"/>
      <w:bookmarkEnd w:id="0"/>
      <w:r>
        <w:rPr>
          <w:rFonts w:ascii="仿宋_GB2312" w:eastAsia="仿宋_GB2312" w:hAnsi="Times New Roman" w:hint="eastAsia"/>
          <w:sz w:val="28"/>
          <w:szCs w:val="28"/>
        </w:rPr>
        <w:t>项目名称：微生物发酵L-色氨酸代谢调控关键技术研究及产业化</w:t>
      </w:r>
    </w:p>
    <w:p w:rsidR="003401E7" w:rsidRDefault="003401E7" w:rsidP="003401E7">
      <w:pPr>
        <w:pStyle w:val="a5"/>
        <w:widowControl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二、提名单位：宁夏大学</w:t>
      </w:r>
    </w:p>
    <w:p w:rsidR="003401E7" w:rsidRDefault="003401E7" w:rsidP="003401E7">
      <w:pPr>
        <w:pStyle w:val="a5"/>
        <w:widowControl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三、主要完成单位：宁夏大学、宁夏伊品生物科技股份有限公司、山东省滨州畜牧兽医研究院、山东绿都生物科技有限公司</w:t>
      </w:r>
    </w:p>
    <w:p w:rsidR="003401E7" w:rsidRDefault="003401E7" w:rsidP="003401E7">
      <w:pPr>
        <w:pStyle w:val="a5"/>
        <w:widowControl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四、主要完成人：方海田、程立坤、赵春光、刘慧燕、程立凤、武一博、赵修报、付石军、张英</w:t>
      </w:r>
    </w:p>
    <w:p w:rsidR="003401E7" w:rsidRDefault="003401E7" w:rsidP="003401E7">
      <w:pPr>
        <w:pStyle w:val="a5"/>
        <w:widowControl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_GB2312" w:eastAsia="仿宋_GB2312" w:hAnsi="Times New Roman"/>
          <w:spacing w:val="4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五、项目简介：针</w:t>
      </w:r>
      <w:r>
        <w:rPr>
          <w:rFonts w:ascii="仿宋_GB2312" w:eastAsia="仿宋_GB2312" w:hAnsi="Times New Roman" w:hint="eastAsia"/>
          <w:spacing w:val="4"/>
          <w:sz w:val="28"/>
          <w:szCs w:val="28"/>
        </w:rPr>
        <w:t>对我国L-色氨酸工业生产中菌株耐受性差、发酵过程控制粗放、产酸水平及糖酸转化率低、提取收率低等“卡脖子”问题，基于代谢工程和代谢控制发酵理论，结合色氨酸合成机制，通过高产菌株理性构建、发酵过程控制及耦合分离技术等，显著提高L-色氨酸产酸水平、糖酸转化率及提取收率，完成L-色氨酸高效绿色清洁生产及其关键技术的产业化推广应用。主要技术内容包括：（1）基于色氨酸合成机制，结合代谢工程理论，理性改造色氨酸合成途径关键基因和副产物合成的主要基因，构建色氨酸高效合成的重组菌株，并解析基因改造对色氨酸合成的影响机制；（2）基于代谢控制发酵理论，结合过程参数水平对色氨酸合成的作用机理，建立L-色氨酸高效合成的pH及溶氧分阶段控制策略，且基于单个细胞的色氨酸合成能力解析，建立L-色氨酸细胞循环发酵策略，L-色氨酸发酵周期由36 h缩短至32 h，产酸水平及糖酸转化率分别提高至52 g/L、20%；（3）基于原子吸收色谱和三重串联四级</w:t>
      </w:r>
      <w:proofErr w:type="gramStart"/>
      <w:r>
        <w:rPr>
          <w:rFonts w:ascii="仿宋_GB2312" w:eastAsia="仿宋_GB2312" w:hAnsi="Times New Roman" w:hint="eastAsia"/>
          <w:spacing w:val="4"/>
          <w:sz w:val="28"/>
          <w:szCs w:val="28"/>
        </w:rPr>
        <w:t>杆液质联</w:t>
      </w:r>
      <w:proofErr w:type="gramEnd"/>
      <w:r>
        <w:rPr>
          <w:rFonts w:ascii="仿宋_GB2312" w:eastAsia="仿宋_GB2312" w:hAnsi="Times New Roman" w:hint="eastAsia"/>
          <w:spacing w:val="4"/>
          <w:sz w:val="28"/>
          <w:szCs w:val="28"/>
        </w:rPr>
        <w:t>用系统对色氨酸发酵液的全面分析，结合色谱分离原理，建立色氨酸色谱分离工艺，并结合超滤工艺，建立L-色氨酸“色谱+超滤”耦合分离技术，L-色氨酸总提取收率由传统工艺的72%提高至95%；项目整体技术经鉴定达到国际先进水平。项目技术</w:t>
      </w:r>
      <w:r>
        <w:rPr>
          <w:rFonts w:ascii="仿宋_GB2312" w:eastAsia="仿宋_GB2312" w:hAnsi="Times New Roman" w:hint="eastAsia"/>
          <w:spacing w:val="4"/>
          <w:sz w:val="28"/>
          <w:szCs w:val="28"/>
        </w:rPr>
        <w:lastRenderedPageBreak/>
        <w:t>成功应用于宁夏伊品生物科技股份有限公司、河南巨龙生物工程股份有限公司L-色氨酸工业化高效绿色生产，提高了L-色氨酸生产水平及降低了生产成本，提升了资源的有效利用，降低了“三废”排放，创造了良好的经济效益与社会效益。</w:t>
      </w:r>
    </w:p>
    <w:p w:rsidR="004F7B3B" w:rsidRPr="003401E7" w:rsidRDefault="004F7B3B"/>
    <w:sectPr w:rsidR="004F7B3B" w:rsidRPr="00340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AF" w:rsidRDefault="008E6DAF" w:rsidP="003401E7">
      <w:r>
        <w:separator/>
      </w:r>
    </w:p>
  </w:endnote>
  <w:endnote w:type="continuationSeparator" w:id="0">
    <w:p w:rsidR="008E6DAF" w:rsidRDefault="008E6DAF" w:rsidP="0034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AF" w:rsidRDefault="008E6DAF" w:rsidP="003401E7">
      <w:r>
        <w:separator/>
      </w:r>
    </w:p>
  </w:footnote>
  <w:footnote w:type="continuationSeparator" w:id="0">
    <w:p w:rsidR="008E6DAF" w:rsidRDefault="008E6DAF" w:rsidP="0034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77"/>
    <w:rsid w:val="00264977"/>
    <w:rsid w:val="003401E7"/>
    <w:rsid w:val="004F7B3B"/>
    <w:rsid w:val="008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0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01E7"/>
    <w:rPr>
      <w:kern w:val="2"/>
      <w:sz w:val="18"/>
      <w:szCs w:val="18"/>
    </w:rPr>
  </w:style>
  <w:style w:type="paragraph" w:styleId="a4">
    <w:name w:val="footer"/>
    <w:basedOn w:val="a"/>
    <w:link w:val="Char0"/>
    <w:rsid w:val="00340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01E7"/>
    <w:rPr>
      <w:kern w:val="2"/>
      <w:sz w:val="18"/>
      <w:szCs w:val="18"/>
    </w:rPr>
  </w:style>
  <w:style w:type="paragraph" w:styleId="a5">
    <w:name w:val="Normal (Web)"/>
    <w:basedOn w:val="a"/>
    <w:unhideWhenUsed/>
    <w:rsid w:val="003401E7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0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01E7"/>
    <w:rPr>
      <w:kern w:val="2"/>
      <w:sz w:val="18"/>
      <w:szCs w:val="18"/>
    </w:rPr>
  </w:style>
  <w:style w:type="paragraph" w:styleId="a4">
    <w:name w:val="footer"/>
    <w:basedOn w:val="a"/>
    <w:link w:val="Char0"/>
    <w:rsid w:val="00340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01E7"/>
    <w:rPr>
      <w:kern w:val="2"/>
      <w:sz w:val="18"/>
      <w:szCs w:val="18"/>
    </w:rPr>
  </w:style>
  <w:style w:type="paragraph" w:styleId="a5">
    <w:name w:val="Normal (Web)"/>
    <w:basedOn w:val="a"/>
    <w:unhideWhenUsed/>
    <w:rsid w:val="003401E7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2021-10-21T05:37:00Z</dcterms:created>
  <dcterms:modified xsi:type="dcterms:W3CDTF">2021-10-21T05:37:00Z</dcterms:modified>
</cp:coreProperties>
</file>